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35C3E" w14:textId="3C9B3132" w:rsidR="002126E4" w:rsidRDefault="003E542D" w:rsidP="003E542D">
      <w:pPr>
        <w:pStyle w:val="Title"/>
        <w:jc w:val="center"/>
      </w:pPr>
      <w:r>
        <w:t>LASA Expenses Policy</w:t>
      </w:r>
    </w:p>
    <w:p w14:paraId="7EE1757A" w14:textId="77777777" w:rsidR="003E542D" w:rsidRDefault="003E542D" w:rsidP="003E542D"/>
    <w:p w14:paraId="7D826333" w14:textId="77777777" w:rsidR="003E542D" w:rsidRDefault="003E542D" w:rsidP="003E542D"/>
    <w:p w14:paraId="6EC46F68" w14:textId="05E8515E" w:rsidR="003E542D" w:rsidRDefault="003E542D">
      <w:pPr>
        <w:pStyle w:val="TOC1"/>
        <w:tabs>
          <w:tab w:val="right" w:leader="dot" w:pos="9016"/>
        </w:tabs>
        <w:rPr>
          <w:noProof/>
        </w:rPr>
      </w:pPr>
      <w:r>
        <w:fldChar w:fldCharType="begin"/>
      </w:r>
      <w:r>
        <w:instrText xml:space="preserve"> TOC \o "1-3" \h \z \u </w:instrText>
      </w:r>
      <w:r>
        <w:fldChar w:fldCharType="separate"/>
      </w:r>
      <w:hyperlink w:anchor="_Toc184842997" w:history="1">
        <w:r w:rsidRPr="0032030B">
          <w:rPr>
            <w:rStyle w:val="Hyperlink"/>
            <w:noProof/>
          </w:rPr>
          <w:t>Introduction</w:t>
        </w:r>
        <w:r>
          <w:rPr>
            <w:noProof/>
            <w:webHidden/>
          </w:rPr>
          <w:tab/>
        </w:r>
        <w:r>
          <w:rPr>
            <w:noProof/>
            <w:webHidden/>
          </w:rPr>
          <w:fldChar w:fldCharType="begin"/>
        </w:r>
        <w:r>
          <w:rPr>
            <w:noProof/>
            <w:webHidden/>
          </w:rPr>
          <w:instrText xml:space="preserve"> PAGEREF _Toc184842997 \h </w:instrText>
        </w:r>
        <w:r>
          <w:rPr>
            <w:noProof/>
            <w:webHidden/>
          </w:rPr>
        </w:r>
        <w:r>
          <w:rPr>
            <w:noProof/>
            <w:webHidden/>
          </w:rPr>
          <w:fldChar w:fldCharType="separate"/>
        </w:r>
        <w:r>
          <w:rPr>
            <w:noProof/>
            <w:webHidden/>
          </w:rPr>
          <w:t>2</w:t>
        </w:r>
        <w:r>
          <w:rPr>
            <w:noProof/>
            <w:webHidden/>
          </w:rPr>
          <w:fldChar w:fldCharType="end"/>
        </w:r>
      </w:hyperlink>
    </w:p>
    <w:p w14:paraId="00F2DD86" w14:textId="104D749F" w:rsidR="003E542D" w:rsidRDefault="00CF5995">
      <w:pPr>
        <w:pStyle w:val="TOC1"/>
        <w:tabs>
          <w:tab w:val="right" w:leader="dot" w:pos="9016"/>
        </w:tabs>
        <w:rPr>
          <w:noProof/>
        </w:rPr>
      </w:pPr>
      <w:hyperlink w:anchor="_Toc184842998" w:history="1">
        <w:r w:rsidR="003E542D" w:rsidRPr="0032030B">
          <w:rPr>
            <w:rStyle w:val="Hyperlink"/>
            <w:noProof/>
          </w:rPr>
          <w:t>Standard expenses</w:t>
        </w:r>
        <w:r w:rsidR="003E542D">
          <w:rPr>
            <w:noProof/>
            <w:webHidden/>
          </w:rPr>
          <w:tab/>
        </w:r>
        <w:r w:rsidR="003E542D">
          <w:rPr>
            <w:noProof/>
            <w:webHidden/>
          </w:rPr>
          <w:fldChar w:fldCharType="begin"/>
        </w:r>
        <w:r w:rsidR="003E542D">
          <w:rPr>
            <w:noProof/>
            <w:webHidden/>
          </w:rPr>
          <w:instrText xml:space="preserve"> PAGEREF _Toc184842998 \h </w:instrText>
        </w:r>
        <w:r w:rsidR="003E542D">
          <w:rPr>
            <w:noProof/>
            <w:webHidden/>
          </w:rPr>
        </w:r>
        <w:r w:rsidR="003E542D">
          <w:rPr>
            <w:noProof/>
            <w:webHidden/>
          </w:rPr>
          <w:fldChar w:fldCharType="separate"/>
        </w:r>
        <w:r w:rsidR="003E542D">
          <w:rPr>
            <w:noProof/>
            <w:webHidden/>
          </w:rPr>
          <w:t>2</w:t>
        </w:r>
        <w:r w:rsidR="003E542D">
          <w:rPr>
            <w:noProof/>
            <w:webHidden/>
          </w:rPr>
          <w:fldChar w:fldCharType="end"/>
        </w:r>
      </w:hyperlink>
    </w:p>
    <w:p w14:paraId="00291103" w14:textId="306C68A5" w:rsidR="003E542D" w:rsidRDefault="00CF5995">
      <w:pPr>
        <w:pStyle w:val="TOC1"/>
        <w:tabs>
          <w:tab w:val="right" w:leader="dot" w:pos="9016"/>
        </w:tabs>
        <w:rPr>
          <w:noProof/>
        </w:rPr>
      </w:pPr>
      <w:hyperlink w:anchor="_Toc184842999" w:history="1">
        <w:r w:rsidR="003E542D" w:rsidRPr="0032030B">
          <w:rPr>
            <w:rStyle w:val="Hyperlink"/>
            <w:noProof/>
          </w:rPr>
          <w:t>Examples of Expense Types</w:t>
        </w:r>
        <w:r w:rsidR="003E542D">
          <w:rPr>
            <w:noProof/>
            <w:webHidden/>
          </w:rPr>
          <w:tab/>
        </w:r>
        <w:r w:rsidR="003E542D">
          <w:rPr>
            <w:noProof/>
            <w:webHidden/>
          </w:rPr>
          <w:fldChar w:fldCharType="begin"/>
        </w:r>
        <w:r w:rsidR="003E542D">
          <w:rPr>
            <w:noProof/>
            <w:webHidden/>
          </w:rPr>
          <w:instrText xml:space="preserve"> PAGEREF _Toc184842999 \h </w:instrText>
        </w:r>
        <w:r w:rsidR="003E542D">
          <w:rPr>
            <w:noProof/>
            <w:webHidden/>
          </w:rPr>
        </w:r>
        <w:r w:rsidR="003E542D">
          <w:rPr>
            <w:noProof/>
            <w:webHidden/>
          </w:rPr>
          <w:fldChar w:fldCharType="separate"/>
        </w:r>
        <w:r w:rsidR="003E542D">
          <w:rPr>
            <w:noProof/>
            <w:webHidden/>
          </w:rPr>
          <w:t>3</w:t>
        </w:r>
        <w:r w:rsidR="003E542D">
          <w:rPr>
            <w:noProof/>
            <w:webHidden/>
          </w:rPr>
          <w:fldChar w:fldCharType="end"/>
        </w:r>
      </w:hyperlink>
    </w:p>
    <w:p w14:paraId="427E3D77" w14:textId="0A473A89" w:rsidR="003E542D" w:rsidRDefault="00CF5995">
      <w:pPr>
        <w:pStyle w:val="TOC2"/>
        <w:tabs>
          <w:tab w:val="right" w:leader="dot" w:pos="9016"/>
        </w:tabs>
        <w:rPr>
          <w:noProof/>
        </w:rPr>
      </w:pPr>
      <w:hyperlink w:anchor="_Toc184843000" w:history="1">
        <w:r w:rsidR="003E542D" w:rsidRPr="0032030B">
          <w:rPr>
            <w:rStyle w:val="Hyperlink"/>
            <w:noProof/>
          </w:rPr>
          <w:t>Trustees and Council members attending LASA Council meetings</w:t>
        </w:r>
        <w:r w:rsidR="003E542D">
          <w:rPr>
            <w:noProof/>
            <w:webHidden/>
          </w:rPr>
          <w:tab/>
        </w:r>
        <w:r w:rsidR="003E542D">
          <w:rPr>
            <w:noProof/>
            <w:webHidden/>
          </w:rPr>
          <w:fldChar w:fldCharType="begin"/>
        </w:r>
        <w:r w:rsidR="003E542D">
          <w:rPr>
            <w:noProof/>
            <w:webHidden/>
          </w:rPr>
          <w:instrText xml:space="preserve"> PAGEREF _Toc184843000 \h </w:instrText>
        </w:r>
        <w:r w:rsidR="003E542D">
          <w:rPr>
            <w:noProof/>
            <w:webHidden/>
          </w:rPr>
        </w:r>
        <w:r w:rsidR="003E542D">
          <w:rPr>
            <w:noProof/>
            <w:webHidden/>
          </w:rPr>
          <w:fldChar w:fldCharType="separate"/>
        </w:r>
        <w:r w:rsidR="003E542D">
          <w:rPr>
            <w:noProof/>
            <w:webHidden/>
          </w:rPr>
          <w:t>3</w:t>
        </w:r>
        <w:r w:rsidR="003E542D">
          <w:rPr>
            <w:noProof/>
            <w:webHidden/>
          </w:rPr>
          <w:fldChar w:fldCharType="end"/>
        </w:r>
      </w:hyperlink>
    </w:p>
    <w:p w14:paraId="0008C501" w14:textId="5150857E" w:rsidR="003E542D" w:rsidRDefault="00CF5995">
      <w:pPr>
        <w:pStyle w:val="TOC2"/>
        <w:tabs>
          <w:tab w:val="right" w:leader="dot" w:pos="9016"/>
        </w:tabs>
        <w:rPr>
          <w:noProof/>
        </w:rPr>
      </w:pPr>
      <w:hyperlink w:anchor="_Toc184843001" w:history="1">
        <w:r w:rsidR="003E542D" w:rsidRPr="0032030B">
          <w:rPr>
            <w:rStyle w:val="Hyperlink"/>
            <w:noProof/>
          </w:rPr>
          <w:t>Trustees and Council Members attending the LASA Annual General Meeting (AGM)</w:t>
        </w:r>
        <w:r w:rsidR="003E542D">
          <w:rPr>
            <w:noProof/>
            <w:webHidden/>
          </w:rPr>
          <w:tab/>
        </w:r>
        <w:r w:rsidR="003E542D">
          <w:rPr>
            <w:noProof/>
            <w:webHidden/>
          </w:rPr>
          <w:fldChar w:fldCharType="begin"/>
        </w:r>
        <w:r w:rsidR="003E542D">
          <w:rPr>
            <w:noProof/>
            <w:webHidden/>
          </w:rPr>
          <w:instrText xml:space="preserve"> PAGEREF _Toc184843001 \h </w:instrText>
        </w:r>
        <w:r w:rsidR="003E542D">
          <w:rPr>
            <w:noProof/>
            <w:webHidden/>
          </w:rPr>
        </w:r>
        <w:r w:rsidR="003E542D">
          <w:rPr>
            <w:noProof/>
            <w:webHidden/>
          </w:rPr>
          <w:fldChar w:fldCharType="separate"/>
        </w:r>
        <w:r w:rsidR="003E542D">
          <w:rPr>
            <w:noProof/>
            <w:webHidden/>
          </w:rPr>
          <w:t>3</w:t>
        </w:r>
        <w:r w:rsidR="003E542D">
          <w:rPr>
            <w:noProof/>
            <w:webHidden/>
          </w:rPr>
          <w:fldChar w:fldCharType="end"/>
        </w:r>
      </w:hyperlink>
    </w:p>
    <w:p w14:paraId="6B7A5901" w14:textId="4FCA13DF" w:rsidR="003E542D" w:rsidRDefault="00CF5995">
      <w:pPr>
        <w:pStyle w:val="TOC2"/>
        <w:tabs>
          <w:tab w:val="right" w:leader="dot" w:pos="9016"/>
        </w:tabs>
        <w:rPr>
          <w:noProof/>
        </w:rPr>
      </w:pPr>
      <w:hyperlink w:anchor="_Toc184843002" w:history="1">
        <w:r w:rsidR="003E542D" w:rsidRPr="0032030B">
          <w:rPr>
            <w:rStyle w:val="Hyperlink"/>
            <w:noProof/>
          </w:rPr>
          <w:t>Speakers</w:t>
        </w:r>
        <w:r w:rsidR="003E542D">
          <w:rPr>
            <w:noProof/>
            <w:webHidden/>
          </w:rPr>
          <w:tab/>
        </w:r>
        <w:r w:rsidR="003E542D">
          <w:rPr>
            <w:noProof/>
            <w:webHidden/>
          </w:rPr>
          <w:fldChar w:fldCharType="begin"/>
        </w:r>
        <w:r w:rsidR="003E542D">
          <w:rPr>
            <w:noProof/>
            <w:webHidden/>
          </w:rPr>
          <w:instrText xml:space="preserve"> PAGEREF _Toc184843002 \h </w:instrText>
        </w:r>
        <w:r w:rsidR="003E542D">
          <w:rPr>
            <w:noProof/>
            <w:webHidden/>
          </w:rPr>
        </w:r>
        <w:r w:rsidR="003E542D">
          <w:rPr>
            <w:noProof/>
            <w:webHidden/>
          </w:rPr>
          <w:fldChar w:fldCharType="separate"/>
        </w:r>
        <w:r w:rsidR="003E542D">
          <w:rPr>
            <w:noProof/>
            <w:webHidden/>
          </w:rPr>
          <w:t>3</w:t>
        </w:r>
        <w:r w:rsidR="003E542D">
          <w:rPr>
            <w:noProof/>
            <w:webHidden/>
          </w:rPr>
          <w:fldChar w:fldCharType="end"/>
        </w:r>
      </w:hyperlink>
    </w:p>
    <w:p w14:paraId="4FB56A8F" w14:textId="5A08F1AA" w:rsidR="003E542D" w:rsidRDefault="00CF5995">
      <w:pPr>
        <w:pStyle w:val="TOC2"/>
        <w:tabs>
          <w:tab w:val="right" w:leader="dot" w:pos="9016"/>
        </w:tabs>
        <w:rPr>
          <w:noProof/>
        </w:rPr>
      </w:pPr>
      <w:hyperlink w:anchor="_Toc184843003" w:history="1">
        <w:r w:rsidR="003E542D" w:rsidRPr="0032030B">
          <w:rPr>
            <w:rStyle w:val="Hyperlink"/>
            <w:noProof/>
          </w:rPr>
          <w:t>Section convenors</w:t>
        </w:r>
        <w:r w:rsidR="003E542D">
          <w:rPr>
            <w:noProof/>
            <w:webHidden/>
          </w:rPr>
          <w:tab/>
        </w:r>
        <w:r w:rsidR="003E542D">
          <w:rPr>
            <w:noProof/>
            <w:webHidden/>
          </w:rPr>
          <w:fldChar w:fldCharType="begin"/>
        </w:r>
        <w:r w:rsidR="003E542D">
          <w:rPr>
            <w:noProof/>
            <w:webHidden/>
          </w:rPr>
          <w:instrText xml:space="preserve"> PAGEREF _Toc184843003 \h </w:instrText>
        </w:r>
        <w:r w:rsidR="003E542D">
          <w:rPr>
            <w:noProof/>
            <w:webHidden/>
          </w:rPr>
        </w:r>
        <w:r w:rsidR="003E542D">
          <w:rPr>
            <w:noProof/>
            <w:webHidden/>
          </w:rPr>
          <w:fldChar w:fldCharType="separate"/>
        </w:r>
        <w:r w:rsidR="003E542D">
          <w:rPr>
            <w:noProof/>
            <w:webHidden/>
          </w:rPr>
          <w:t>4</w:t>
        </w:r>
        <w:r w:rsidR="003E542D">
          <w:rPr>
            <w:noProof/>
            <w:webHidden/>
          </w:rPr>
          <w:fldChar w:fldCharType="end"/>
        </w:r>
      </w:hyperlink>
    </w:p>
    <w:p w14:paraId="7DC5C657" w14:textId="6AA4D418" w:rsidR="003E542D" w:rsidRDefault="00CF5995">
      <w:pPr>
        <w:pStyle w:val="TOC2"/>
        <w:tabs>
          <w:tab w:val="right" w:leader="dot" w:pos="9016"/>
        </w:tabs>
        <w:rPr>
          <w:noProof/>
        </w:rPr>
      </w:pPr>
      <w:hyperlink w:anchor="_Toc184843004" w:history="1">
        <w:r w:rsidR="003E542D" w:rsidRPr="0032030B">
          <w:rPr>
            <w:rStyle w:val="Hyperlink"/>
            <w:noProof/>
          </w:rPr>
          <w:t>Roles required to attend the full annual meeting.</w:t>
        </w:r>
        <w:r w:rsidR="003E542D">
          <w:rPr>
            <w:noProof/>
            <w:webHidden/>
          </w:rPr>
          <w:tab/>
        </w:r>
        <w:r w:rsidR="003E542D">
          <w:rPr>
            <w:noProof/>
            <w:webHidden/>
          </w:rPr>
          <w:fldChar w:fldCharType="begin"/>
        </w:r>
        <w:r w:rsidR="003E542D">
          <w:rPr>
            <w:noProof/>
            <w:webHidden/>
          </w:rPr>
          <w:instrText xml:space="preserve"> PAGEREF _Toc184843004 \h </w:instrText>
        </w:r>
        <w:r w:rsidR="003E542D">
          <w:rPr>
            <w:noProof/>
            <w:webHidden/>
          </w:rPr>
        </w:r>
        <w:r w:rsidR="003E542D">
          <w:rPr>
            <w:noProof/>
            <w:webHidden/>
          </w:rPr>
          <w:fldChar w:fldCharType="separate"/>
        </w:r>
        <w:r w:rsidR="003E542D">
          <w:rPr>
            <w:noProof/>
            <w:webHidden/>
          </w:rPr>
          <w:t>4</w:t>
        </w:r>
        <w:r w:rsidR="003E542D">
          <w:rPr>
            <w:noProof/>
            <w:webHidden/>
          </w:rPr>
          <w:fldChar w:fldCharType="end"/>
        </w:r>
      </w:hyperlink>
    </w:p>
    <w:p w14:paraId="2756E201" w14:textId="4DB6A380" w:rsidR="003E542D" w:rsidRDefault="00CF5995">
      <w:pPr>
        <w:pStyle w:val="TOC2"/>
        <w:tabs>
          <w:tab w:val="right" w:leader="dot" w:pos="9016"/>
        </w:tabs>
        <w:rPr>
          <w:noProof/>
        </w:rPr>
      </w:pPr>
      <w:hyperlink w:anchor="_Toc184843005" w:history="1">
        <w:r w:rsidR="003E542D" w:rsidRPr="0032030B">
          <w:rPr>
            <w:rStyle w:val="Hyperlink"/>
            <w:noProof/>
          </w:rPr>
          <w:t>Representing LASA at other meetings</w:t>
        </w:r>
        <w:r w:rsidR="003E542D">
          <w:rPr>
            <w:noProof/>
            <w:webHidden/>
          </w:rPr>
          <w:tab/>
        </w:r>
        <w:r w:rsidR="003E542D">
          <w:rPr>
            <w:noProof/>
            <w:webHidden/>
          </w:rPr>
          <w:fldChar w:fldCharType="begin"/>
        </w:r>
        <w:r w:rsidR="003E542D">
          <w:rPr>
            <w:noProof/>
            <w:webHidden/>
          </w:rPr>
          <w:instrText xml:space="preserve"> PAGEREF _Toc184843005 \h </w:instrText>
        </w:r>
        <w:r w:rsidR="003E542D">
          <w:rPr>
            <w:noProof/>
            <w:webHidden/>
          </w:rPr>
        </w:r>
        <w:r w:rsidR="003E542D">
          <w:rPr>
            <w:noProof/>
            <w:webHidden/>
          </w:rPr>
          <w:fldChar w:fldCharType="separate"/>
        </w:r>
        <w:r w:rsidR="003E542D">
          <w:rPr>
            <w:noProof/>
            <w:webHidden/>
          </w:rPr>
          <w:t>4</w:t>
        </w:r>
        <w:r w:rsidR="003E542D">
          <w:rPr>
            <w:noProof/>
            <w:webHidden/>
          </w:rPr>
          <w:fldChar w:fldCharType="end"/>
        </w:r>
      </w:hyperlink>
    </w:p>
    <w:p w14:paraId="4B291781" w14:textId="7A0F2ABE" w:rsidR="003E542D" w:rsidRDefault="00CF5995">
      <w:pPr>
        <w:pStyle w:val="TOC2"/>
        <w:tabs>
          <w:tab w:val="right" w:leader="dot" w:pos="9016"/>
        </w:tabs>
        <w:rPr>
          <w:noProof/>
        </w:rPr>
      </w:pPr>
      <w:hyperlink w:anchor="_Toc184843006" w:history="1">
        <w:r w:rsidR="003E542D" w:rsidRPr="0032030B">
          <w:rPr>
            <w:rStyle w:val="Hyperlink"/>
            <w:noProof/>
          </w:rPr>
          <w:t>Other types of expense</w:t>
        </w:r>
        <w:r w:rsidR="003E542D">
          <w:rPr>
            <w:noProof/>
            <w:webHidden/>
          </w:rPr>
          <w:tab/>
        </w:r>
        <w:r w:rsidR="003E542D">
          <w:rPr>
            <w:noProof/>
            <w:webHidden/>
          </w:rPr>
          <w:fldChar w:fldCharType="begin"/>
        </w:r>
        <w:r w:rsidR="003E542D">
          <w:rPr>
            <w:noProof/>
            <w:webHidden/>
          </w:rPr>
          <w:instrText xml:space="preserve"> PAGEREF _Toc184843006 \h </w:instrText>
        </w:r>
        <w:r w:rsidR="003E542D">
          <w:rPr>
            <w:noProof/>
            <w:webHidden/>
          </w:rPr>
        </w:r>
        <w:r w:rsidR="003E542D">
          <w:rPr>
            <w:noProof/>
            <w:webHidden/>
          </w:rPr>
          <w:fldChar w:fldCharType="separate"/>
        </w:r>
        <w:r w:rsidR="003E542D">
          <w:rPr>
            <w:noProof/>
            <w:webHidden/>
          </w:rPr>
          <w:t>4</w:t>
        </w:r>
        <w:r w:rsidR="003E542D">
          <w:rPr>
            <w:noProof/>
            <w:webHidden/>
          </w:rPr>
          <w:fldChar w:fldCharType="end"/>
        </w:r>
      </w:hyperlink>
    </w:p>
    <w:p w14:paraId="795A16FD" w14:textId="02779339" w:rsidR="003E542D" w:rsidRPr="003E542D" w:rsidRDefault="003E542D" w:rsidP="003E542D">
      <w:r>
        <w:fldChar w:fldCharType="end"/>
      </w:r>
    </w:p>
    <w:p w14:paraId="32C5AB65" w14:textId="77777777" w:rsidR="003E542D" w:rsidRDefault="003E542D">
      <w:pPr>
        <w:rPr>
          <w:rFonts w:asciiTheme="majorHAnsi" w:eastAsiaTheme="majorEastAsia" w:hAnsiTheme="majorHAnsi" w:cstheme="majorBidi"/>
          <w:color w:val="0F4761" w:themeColor="accent1" w:themeShade="BF"/>
          <w:sz w:val="40"/>
          <w:szCs w:val="40"/>
        </w:rPr>
      </w:pPr>
      <w:r>
        <w:br w:type="page"/>
      </w:r>
    </w:p>
    <w:p w14:paraId="7E34F562" w14:textId="5DD440C5" w:rsidR="002126E4" w:rsidRDefault="002126E4" w:rsidP="002126E4">
      <w:pPr>
        <w:pStyle w:val="Heading1"/>
      </w:pPr>
      <w:bookmarkStart w:id="0" w:name="_Toc184842997"/>
      <w:r>
        <w:lastRenderedPageBreak/>
        <w:t>Introduction</w:t>
      </w:r>
      <w:bookmarkEnd w:id="0"/>
    </w:p>
    <w:p w14:paraId="50B69A8D" w14:textId="77777777" w:rsidR="002126E4" w:rsidRDefault="002126E4" w:rsidP="002126E4">
      <w:r>
        <w:t xml:space="preserve">This expenses policy covers Trustees, Council Members, Section Convenors and Speakers who are contributing to the work of LASA and outlines the general principles.  </w:t>
      </w:r>
    </w:p>
    <w:p w14:paraId="2A88E85C" w14:textId="77777777" w:rsidR="003E542D" w:rsidRDefault="003E542D" w:rsidP="002126E4"/>
    <w:p w14:paraId="0853E6EC" w14:textId="77777777" w:rsidR="002126E4" w:rsidRDefault="002126E4" w:rsidP="002126E4">
      <w:r>
        <w:t xml:space="preserve">Wherever possible we encourage individuals to seek financial support from their employer or </w:t>
      </w:r>
      <w:bookmarkStart w:id="1" w:name="_GoBack"/>
      <w:bookmarkEnd w:id="1"/>
      <w:r>
        <w:t xml:space="preserve">research grant funder. Individuals who have no sources of financial support, whose employers do not support their attendance, where LASA have specifically invited them to speak or where their role requires them to be at the meeting may claim expenses as outlined in this document. </w:t>
      </w:r>
    </w:p>
    <w:p w14:paraId="3544BE7D" w14:textId="77777777" w:rsidR="002126E4" w:rsidRDefault="002126E4" w:rsidP="002126E4"/>
    <w:p w14:paraId="15CE9B18" w14:textId="77777777" w:rsidR="002126E4" w:rsidRDefault="002126E4" w:rsidP="002126E4">
      <w:pPr>
        <w:pStyle w:val="Heading1"/>
      </w:pPr>
      <w:bookmarkStart w:id="2" w:name="_Toc184842998"/>
      <w:r>
        <w:t>Standard expenses</w:t>
      </w:r>
      <w:bookmarkEnd w:id="2"/>
    </w:p>
    <w:p w14:paraId="7B568A94" w14:textId="0324AC94" w:rsidR="002126E4" w:rsidRDefault="00C000E2" w:rsidP="002126E4">
      <w:r>
        <w:t>Guidelines</w:t>
      </w:r>
      <w:r w:rsidR="00CE6E77">
        <w:t xml:space="preserve"> regarding LASA’s standard expenses are summarised below:</w:t>
      </w:r>
    </w:p>
    <w:p w14:paraId="7BF52C05" w14:textId="77777777" w:rsidR="002126E4" w:rsidRDefault="002126E4" w:rsidP="002126E4"/>
    <w:p w14:paraId="1D98B910" w14:textId="7BDB708F" w:rsidR="00330000" w:rsidRDefault="00330000" w:rsidP="002126E4">
      <w:pPr>
        <w:pStyle w:val="ListParagraph"/>
        <w:numPr>
          <w:ilvl w:val="0"/>
          <w:numId w:val="1"/>
        </w:numPr>
        <w:rPr>
          <w:b/>
          <w:bCs/>
        </w:rPr>
      </w:pPr>
      <w:r>
        <w:rPr>
          <w:b/>
          <w:bCs/>
        </w:rPr>
        <w:t xml:space="preserve">General </w:t>
      </w:r>
    </w:p>
    <w:p w14:paraId="1DF90DCB" w14:textId="1DB47467" w:rsidR="00330000" w:rsidRDefault="00330000" w:rsidP="00330000">
      <w:pPr>
        <w:pStyle w:val="ListParagraph"/>
        <w:numPr>
          <w:ilvl w:val="1"/>
          <w:numId w:val="1"/>
        </w:numPr>
      </w:pPr>
      <w:r>
        <w:t>LASA expense payments do not cover sundry costs (e.g. meals, gala event).</w:t>
      </w:r>
    </w:p>
    <w:p w14:paraId="3EA338DE" w14:textId="58A3EB9F" w:rsidR="00330000" w:rsidRDefault="00330000" w:rsidP="00330000">
      <w:pPr>
        <w:pStyle w:val="ListParagraph"/>
        <w:numPr>
          <w:ilvl w:val="1"/>
          <w:numId w:val="1"/>
        </w:numPr>
      </w:pPr>
      <w:r>
        <w:t>Costs of partners/companions accompanying the claimant to the meeting are not covered, the exception is where an essential companion is needed to accompany the claimant, and this should be highlighted and discussed at the time.</w:t>
      </w:r>
    </w:p>
    <w:p w14:paraId="74A7D079" w14:textId="3EC93CAF" w:rsidR="00C000E2" w:rsidRPr="00330000" w:rsidRDefault="00C000E2" w:rsidP="00C000E2">
      <w:pPr>
        <w:pStyle w:val="ListParagraph"/>
        <w:numPr>
          <w:ilvl w:val="1"/>
          <w:numId w:val="1"/>
        </w:numPr>
      </w:pPr>
      <w:r>
        <w:t>All expenses should be claimed using the expenses form</w:t>
      </w:r>
      <w:r w:rsidR="00724859">
        <w:t xml:space="preserve"> (available from LASA secretariat)</w:t>
      </w:r>
      <w:r>
        <w:t>, with receipts for costs incurred and sent to the LASA Secretariat (info@lasa.co.uk) for processing after approval by the LASA Treasurer.</w:t>
      </w:r>
    </w:p>
    <w:p w14:paraId="4E331D58" w14:textId="00A38E5A" w:rsidR="002126E4" w:rsidRPr="003E542D" w:rsidRDefault="002126E4" w:rsidP="002126E4">
      <w:pPr>
        <w:pStyle w:val="ListParagraph"/>
        <w:numPr>
          <w:ilvl w:val="0"/>
          <w:numId w:val="1"/>
        </w:numPr>
        <w:rPr>
          <w:b/>
          <w:bCs/>
        </w:rPr>
      </w:pPr>
      <w:r w:rsidRPr="003E542D">
        <w:rPr>
          <w:b/>
          <w:bCs/>
        </w:rPr>
        <w:t>Registration Fees</w:t>
      </w:r>
    </w:p>
    <w:p w14:paraId="663EBA39" w14:textId="7EC42E7C" w:rsidR="002126E4" w:rsidRDefault="002126E4" w:rsidP="002126E4">
      <w:pPr>
        <w:pStyle w:val="ListParagraph"/>
        <w:numPr>
          <w:ilvl w:val="1"/>
          <w:numId w:val="1"/>
        </w:numPr>
      </w:pPr>
      <w:r>
        <w:t xml:space="preserve">A waiver of the registration fee for one day meetings.  For longer meetings the registration fee may be waived on the next day </w:t>
      </w:r>
      <w:r w:rsidR="005860AF">
        <w:t xml:space="preserve">or for the whole meeting </w:t>
      </w:r>
      <w:r>
        <w:t xml:space="preserve">in circumstances where an individual has stayed overnight, and this has been agreed by the Trustees in advance.    </w:t>
      </w:r>
    </w:p>
    <w:p w14:paraId="6D260CFC" w14:textId="25BD8A35" w:rsidR="002126E4" w:rsidRPr="003E542D" w:rsidRDefault="002126E4" w:rsidP="002126E4">
      <w:pPr>
        <w:pStyle w:val="ListParagraph"/>
        <w:numPr>
          <w:ilvl w:val="0"/>
          <w:numId w:val="1"/>
        </w:numPr>
        <w:rPr>
          <w:b/>
          <w:bCs/>
        </w:rPr>
      </w:pPr>
      <w:bookmarkStart w:id="3" w:name="_Ref184842912"/>
      <w:r w:rsidRPr="003E542D">
        <w:rPr>
          <w:b/>
          <w:bCs/>
        </w:rPr>
        <w:t xml:space="preserve">Travel </w:t>
      </w:r>
      <w:r w:rsidR="00CE6E77">
        <w:rPr>
          <w:b/>
          <w:bCs/>
        </w:rPr>
        <w:t>E</w:t>
      </w:r>
      <w:r w:rsidRPr="003E542D">
        <w:rPr>
          <w:b/>
          <w:bCs/>
        </w:rPr>
        <w:t>xpenses</w:t>
      </w:r>
      <w:bookmarkEnd w:id="3"/>
    </w:p>
    <w:p w14:paraId="296E6676" w14:textId="77777777" w:rsidR="002126E4" w:rsidRDefault="002126E4" w:rsidP="002126E4">
      <w:pPr>
        <w:pStyle w:val="ListParagraph"/>
        <w:numPr>
          <w:ilvl w:val="1"/>
          <w:numId w:val="1"/>
        </w:numPr>
      </w:pPr>
      <w:r>
        <w:t xml:space="preserve">We encourage sustainable travel (e.g. rail) wherever possible.  </w:t>
      </w:r>
    </w:p>
    <w:p w14:paraId="6220AE8A" w14:textId="77777777" w:rsidR="002126E4" w:rsidRDefault="002126E4" w:rsidP="002126E4">
      <w:pPr>
        <w:pStyle w:val="ListParagraph"/>
        <w:numPr>
          <w:ilvl w:val="1"/>
          <w:numId w:val="1"/>
        </w:numPr>
      </w:pPr>
      <w:r>
        <w:t xml:space="preserve">Travel should also be cost effective e.g. standard/advance/off peak train travel. </w:t>
      </w:r>
    </w:p>
    <w:p w14:paraId="0BCDBB60" w14:textId="77777777" w:rsidR="002126E4" w:rsidRDefault="002126E4" w:rsidP="002126E4">
      <w:pPr>
        <w:pStyle w:val="ListParagraph"/>
        <w:numPr>
          <w:ilvl w:val="1"/>
          <w:numId w:val="1"/>
        </w:numPr>
      </w:pPr>
      <w:r>
        <w:t xml:space="preserve">Unless agreed in advance travel costs may only be obtained at the lowest available public transport cost.  </w:t>
      </w:r>
    </w:p>
    <w:p w14:paraId="3CCF3D68" w14:textId="188B2079" w:rsidR="002126E4" w:rsidRDefault="002126E4" w:rsidP="002126E4">
      <w:pPr>
        <w:pStyle w:val="ListParagraph"/>
        <w:numPr>
          <w:ilvl w:val="1"/>
          <w:numId w:val="1"/>
        </w:numPr>
      </w:pPr>
      <w:r>
        <w:t xml:space="preserve">All these considerations should be </w:t>
      </w:r>
      <w:r w:rsidR="00677A12">
        <w:t>considered</w:t>
      </w:r>
      <w:r>
        <w:t xml:space="preserve"> before driving - it may be cheaper to drive where several delegates are sharing a car.</w:t>
      </w:r>
    </w:p>
    <w:p w14:paraId="23231695" w14:textId="6CA5472C" w:rsidR="002126E4" w:rsidRDefault="002126E4" w:rsidP="002126E4">
      <w:pPr>
        <w:pStyle w:val="ListParagraph"/>
        <w:numPr>
          <w:ilvl w:val="1"/>
          <w:numId w:val="1"/>
        </w:numPr>
      </w:pPr>
      <w:r>
        <w:t>When company vehicles are used, only fuel costs may be claimed</w:t>
      </w:r>
      <w:r w:rsidR="003E542D">
        <w:t xml:space="preserve">. </w:t>
      </w:r>
    </w:p>
    <w:p w14:paraId="6D992A1B" w14:textId="50EA7E41" w:rsidR="002126E4" w:rsidRPr="003E542D" w:rsidRDefault="002126E4" w:rsidP="002126E4">
      <w:pPr>
        <w:pStyle w:val="ListParagraph"/>
        <w:numPr>
          <w:ilvl w:val="0"/>
          <w:numId w:val="1"/>
        </w:numPr>
        <w:rPr>
          <w:b/>
          <w:bCs/>
        </w:rPr>
      </w:pPr>
      <w:r w:rsidRPr="003E542D">
        <w:rPr>
          <w:b/>
          <w:bCs/>
        </w:rPr>
        <w:t>Accommodation</w:t>
      </w:r>
    </w:p>
    <w:p w14:paraId="73C82BC7" w14:textId="77777777" w:rsidR="002126E4" w:rsidRDefault="002126E4" w:rsidP="002126E4">
      <w:pPr>
        <w:pStyle w:val="ListParagraph"/>
        <w:numPr>
          <w:ilvl w:val="1"/>
          <w:numId w:val="1"/>
        </w:numPr>
      </w:pPr>
      <w:r w:rsidRPr="002126E4">
        <w:t xml:space="preserve">One night of accommodation for meetings that are longer than one day and where required.  Please note as a guide LASA works to a limit of £150/night.  </w:t>
      </w:r>
    </w:p>
    <w:p w14:paraId="0995D101" w14:textId="56D63BFD" w:rsidR="002126E4" w:rsidRPr="002126E4" w:rsidRDefault="002126E4" w:rsidP="002126E4">
      <w:pPr>
        <w:pStyle w:val="ListParagraph"/>
        <w:numPr>
          <w:ilvl w:val="1"/>
          <w:numId w:val="1"/>
        </w:numPr>
      </w:pPr>
      <w:r w:rsidRPr="002126E4">
        <w:t>In exceptional circumstances accommodation may be reimbursed for one day meetings where it is impossible for the claimant to travel there and back on the same day. This must be agreed in advance.</w:t>
      </w:r>
    </w:p>
    <w:p w14:paraId="76EB67C9" w14:textId="1EA1EBD1" w:rsidR="002126E4" w:rsidRPr="003E542D" w:rsidRDefault="002126E4" w:rsidP="002126E4">
      <w:pPr>
        <w:pStyle w:val="ListParagraph"/>
        <w:numPr>
          <w:ilvl w:val="0"/>
          <w:numId w:val="1"/>
        </w:numPr>
        <w:rPr>
          <w:b/>
          <w:bCs/>
        </w:rPr>
      </w:pPr>
      <w:r w:rsidRPr="003E542D">
        <w:rPr>
          <w:b/>
          <w:bCs/>
        </w:rPr>
        <w:t>Exceptions</w:t>
      </w:r>
    </w:p>
    <w:p w14:paraId="70786994" w14:textId="3B31F0DC" w:rsidR="002126E4" w:rsidRDefault="002126E4" w:rsidP="002126E4">
      <w:pPr>
        <w:pStyle w:val="ListParagraph"/>
        <w:numPr>
          <w:ilvl w:val="1"/>
          <w:numId w:val="1"/>
        </w:numPr>
      </w:pPr>
      <w:r w:rsidRPr="002126E4">
        <w:t xml:space="preserve">The LASA Trustees reserve the right to award expenses </w:t>
      </w:r>
      <w:r w:rsidR="00F4572F">
        <w:t>beyond</w:t>
      </w:r>
      <w:r w:rsidRPr="002126E4">
        <w:t xml:space="preserve"> those outlined under standard expenses in exceptional circumstances and where the rationale has been provided to and agreed by the Trustees in advance.</w:t>
      </w:r>
    </w:p>
    <w:p w14:paraId="774C5F2A" w14:textId="77777777" w:rsidR="002126E4" w:rsidRDefault="002126E4" w:rsidP="002126E4"/>
    <w:p w14:paraId="4D7B1FD9" w14:textId="07819A42" w:rsidR="002126E4" w:rsidRDefault="002126E4">
      <w:r>
        <w:br w:type="page"/>
      </w:r>
    </w:p>
    <w:p w14:paraId="2B5F1177" w14:textId="77777777" w:rsidR="002126E4" w:rsidRDefault="002126E4" w:rsidP="002126E4">
      <w:pPr>
        <w:pStyle w:val="Heading1"/>
      </w:pPr>
      <w:bookmarkStart w:id="4" w:name="_Toc184842999"/>
      <w:r>
        <w:lastRenderedPageBreak/>
        <w:t>Examples of Expense Types</w:t>
      </w:r>
      <w:bookmarkEnd w:id="4"/>
    </w:p>
    <w:p w14:paraId="792DC776" w14:textId="77777777" w:rsidR="002126E4" w:rsidRDefault="002126E4" w:rsidP="002126E4">
      <w:pPr>
        <w:pStyle w:val="Heading2"/>
      </w:pPr>
      <w:bookmarkStart w:id="5" w:name="_Toc184843000"/>
      <w:r>
        <w:t>Trustees and Council members attending LASA Council meetings</w:t>
      </w:r>
      <w:bookmarkEnd w:id="5"/>
    </w:p>
    <w:p w14:paraId="6C49F3C6" w14:textId="7BC676DC" w:rsidR="002126E4" w:rsidRDefault="002126E4" w:rsidP="002126E4">
      <w:r>
        <w:t>LASA council members play an important role in facilitating LASA to deliver its charitable aims.  LASA Council oversees the operation of LASA and its funds. Therefore, the Trustees and Council Members are expected to attend LASA council meetings of which a number are online. However, some meetings are held in person and travel expenses will be reimbursed where there is no support from an employer for these costs.  Reimbursement will be subject to confirmation of attendance of the individual at the meeting.</w:t>
      </w:r>
    </w:p>
    <w:p w14:paraId="0D57066D" w14:textId="77777777" w:rsidR="002126E4" w:rsidRDefault="002126E4" w:rsidP="002126E4"/>
    <w:p w14:paraId="6C19E126" w14:textId="0DF782C5" w:rsidR="002126E4" w:rsidRDefault="002126E4" w:rsidP="002126E4">
      <w:pPr>
        <w:pStyle w:val="Heading2"/>
      </w:pPr>
      <w:bookmarkStart w:id="6" w:name="_Toc184843001"/>
      <w:r>
        <w:t>Trustees and Council Members attending the LASA Annual General Meeting (AGM)</w:t>
      </w:r>
      <w:bookmarkEnd w:id="6"/>
    </w:p>
    <w:p w14:paraId="584D99E2" w14:textId="18D2795B" w:rsidR="002126E4" w:rsidRDefault="002126E4" w:rsidP="002126E4">
      <w:r>
        <w:t>The Trustees</w:t>
      </w:r>
      <w:r w:rsidR="0075631E">
        <w:t>/</w:t>
      </w:r>
      <w:r w:rsidR="006626DA">
        <w:t>Officers</w:t>
      </w:r>
      <w:r>
        <w:t xml:space="preserve"> are expected to attend the AGM to present their annual reports to the members of the Association in respect of their roles as:</w:t>
      </w:r>
    </w:p>
    <w:p w14:paraId="06D6F134" w14:textId="67568F7A" w:rsidR="002126E4" w:rsidRDefault="002126E4" w:rsidP="002126E4">
      <w:pPr>
        <w:pStyle w:val="ListParagraph"/>
        <w:numPr>
          <w:ilvl w:val="0"/>
          <w:numId w:val="2"/>
        </w:numPr>
      </w:pPr>
      <w:r>
        <w:t>President</w:t>
      </w:r>
    </w:p>
    <w:p w14:paraId="744C8183" w14:textId="7ECB1A67" w:rsidR="002126E4" w:rsidRDefault="002126E4" w:rsidP="002126E4">
      <w:pPr>
        <w:pStyle w:val="ListParagraph"/>
        <w:numPr>
          <w:ilvl w:val="0"/>
          <w:numId w:val="2"/>
        </w:numPr>
      </w:pPr>
      <w:r>
        <w:t xml:space="preserve">Meetings Secretary </w:t>
      </w:r>
    </w:p>
    <w:p w14:paraId="7AB7A8BD" w14:textId="50C0CE83" w:rsidR="002126E4" w:rsidRDefault="002126E4" w:rsidP="002126E4">
      <w:pPr>
        <w:pStyle w:val="ListParagraph"/>
        <w:numPr>
          <w:ilvl w:val="0"/>
          <w:numId w:val="2"/>
        </w:numPr>
      </w:pPr>
      <w:r>
        <w:t>Chair of the Scientific Programme</w:t>
      </w:r>
    </w:p>
    <w:p w14:paraId="25C506D3" w14:textId="3C559B98" w:rsidR="002126E4" w:rsidRDefault="002126E4" w:rsidP="002126E4">
      <w:pPr>
        <w:pStyle w:val="ListParagraph"/>
        <w:numPr>
          <w:ilvl w:val="0"/>
          <w:numId w:val="2"/>
        </w:numPr>
      </w:pPr>
      <w:r>
        <w:t>Treasurer</w:t>
      </w:r>
    </w:p>
    <w:p w14:paraId="65E5F630" w14:textId="77777777" w:rsidR="002126E4" w:rsidRDefault="002126E4" w:rsidP="002126E4"/>
    <w:p w14:paraId="37DF5023" w14:textId="16195BDD" w:rsidR="002126E4" w:rsidRDefault="002126E4" w:rsidP="002126E4">
      <w:r>
        <w:t>It would also be desirable for other members of Council to attend the AGM, if possible.</w:t>
      </w:r>
    </w:p>
    <w:p w14:paraId="0A7ADED8" w14:textId="77777777" w:rsidR="002126E4" w:rsidRDefault="002126E4" w:rsidP="002126E4"/>
    <w:p w14:paraId="0D1226C2" w14:textId="77777777" w:rsidR="002126E4" w:rsidRDefault="002126E4" w:rsidP="002126E4">
      <w:r>
        <w:t>Reimbursement of such expenses will be subject to confirmation of the claimant’s signature on the register of attendance, which is circulated at the AGM</w:t>
      </w:r>
    </w:p>
    <w:p w14:paraId="416949B6" w14:textId="77777777" w:rsidR="002126E4" w:rsidRDefault="002126E4" w:rsidP="002126E4"/>
    <w:p w14:paraId="0C65A45D" w14:textId="77777777" w:rsidR="002126E4" w:rsidRDefault="002126E4" w:rsidP="002126E4">
      <w:pPr>
        <w:pStyle w:val="Heading2"/>
      </w:pPr>
      <w:bookmarkStart w:id="7" w:name="_Toc184843002"/>
      <w:r>
        <w:t>Speakers</w:t>
      </w:r>
      <w:bookmarkEnd w:id="7"/>
    </w:p>
    <w:p w14:paraId="120781F6" w14:textId="7E767A72" w:rsidR="002126E4" w:rsidRDefault="002126E4" w:rsidP="002126E4">
      <w:r>
        <w:t xml:space="preserve">Speakers at LASA events make essential contributions to both section meetings and annual meetings as well as other activities such as workshops. These events help to enable LASA to deliver its charitable aims and objectives. It is essential that speakers are reimbursed for costs incurred where they are unable to be funded by other means – the reimbursement schedule is summarised in </w:t>
      </w:r>
      <w:r>
        <w:fldChar w:fldCharType="begin"/>
      </w:r>
      <w:r>
        <w:instrText xml:space="preserve"> REF _Ref184842531 \h </w:instrText>
      </w:r>
      <w:r>
        <w:fldChar w:fldCharType="separate"/>
      </w:r>
      <w:r>
        <w:t xml:space="preserve">Table </w:t>
      </w:r>
      <w:r>
        <w:rPr>
          <w:noProof/>
        </w:rPr>
        <w:t>1</w:t>
      </w:r>
      <w:r>
        <w:fldChar w:fldCharType="end"/>
      </w:r>
      <w:r>
        <w:t xml:space="preserve">. </w:t>
      </w:r>
    </w:p>
    <w:p w14:paraId="557FBB26" w14:textId="77777777" w:rsidR="002126E4" w:rsidRDefault="002126E4" w:rsidP="002126E4"/>
    <w:p w14:paraId="0E5A6855" w14:textId="79BCF369" w:rsidR="002126E4" w:rsidRDefault="002126E4" w:rsidP="002126E4">
      <w:pPr>
        <w:pStyle w:val="Caption"/>
        <w:keepNext/>
      </w:pPr>
      <w:bookmarkStart w:id="8" w:name="_Ref184842531"/>
      <w:r>
        <w:t xml:space="preserve">Table </w:t>
      </w:r>
      <w:r w:rsidR="00CF5995">
        <w:fldChar w:fldCharType="begin"/>
      </w:r>
      <w:r w:rsidR="00CF5995">
        <w:instrText xml:space="preserve"> SEQ Table \* ARABIC </w:instrText>
      </w:r>
      <w:r w:rsidR="00CF5995">
        <w:fldChar w:fldCharType="separate"/>
      </w:r>
      <w:r>
        <w:rPr>
          <w:noProof/>
        </w:rPr>
        <w:t>1</w:t>
      </w:r>
      <w:r w:rsidR="00CF5995">
        <w:rPr>
          <w:noProof/>
        </w:rPr>
        <w:fldChar w:fldCharType="end"/>
      </w:r>
      <w:bookmarkEnd w:id="8"/>
      <w:r>
        <w:t xml:space="preserve"> – Expenses policy by meeting </w:t>
      </w:r>
      <w:r w:rsidR="000109FC">
        <w:t>type for</w:t>
      </w:r>
      <w:r>
        <w:t xml:space="preserve"> speakers </w:t>
      </w:r>
    </w:p>
    <w:tbl>
      <w:tblPr>
        <w:tblStyle w:val="TableGrid"/>
        <w:tblW w:w="9129" w:type="dxa"/>
        <w:tblLook w:val="04A0" w:firstRow="1" w:lastRow="0" w:firstColumn="1" w:lastColumn="0" w:noHBand="0" w:noVBand="1"/>
      </w:tblPr>
      <w:tblGrid>
        <w:gridCol w:w="1932"/>
        <w:gridCol w:w="7197"/>
      </w:tblGrid>
      <w:tr w:rsidR="002126E4" w:rsidRPr="002126E4" w14:paraId="6EF2116B" w14:textId="77777777" w:rsidTr="002126E4">
        <w:tc>
          <w:tcPr>
            <w:tcW w:w="1932" w:type="dxa"/>
          </w:tcPr>
          <w:p w14:paraId="086B896B" w14:textId="77777777" w:rsidR="002126E4" w:rsidRPr="002126E4" w:rsidRDefault="002126E4" w:rsidP="002126E4">
            <w:pPr>
              <w:rPr>
                <w:b/>
                <w:bCs/>
              </w:rPr>
            </w:pPr>
            <w:r w:rsidRPr="002126E4">
              <w:rPr>
                <w:b/>
                <w:bCs/>
              </w:rPr>
              <w:t>Meeting type</w:t>
            </w:r>
          </w:p>
        </w:tc>
        <w:tc>
          <w:tcPr>
            <w:tcW w:w="7197" w:type="dxa"/>
          </w:tcPr>
          <w:p w14:paraId="20837A28" w14:textId="77777777" w:rsidR="002126E4" w:rsidRPr="002126E4" w:rsidRDefault="002126E4" w:rsidP="002126E4">
            <w:pPr>
              <w:rPr>
                <w:b/>
                <w:bCs/>
              </w:rPr>
            </w:pPr>
            <w:r w:rsidRPr="002126E4">
              <w:rPr>
                <w:b/>
                <w:bCs/>
              </w:rPr>
              <w:t>Scope</w:t>
            </w:r>
          </w:p>
        </w:tc>
      </w:tr>
      <w:tr w:rsidR="002126E4" w:rsidRPr="002126E4" w14:paraId="480DD3CE" w14:textId="77777777" w:rsidTr="002126E4">
        <w:tc>
          <w:tcPr>
            <w:tcW w:w="1932" w:type="dxa"/>
          </w:tcPr>
          <w:p w14:paraId="57931B3F" w14:textId="77777777" w:rsidR="002126E4" w:rsidRPr="002126E4" w:rsidRDefault="002126E4" w:rsidP="002126E4">
            <w:r w:rsidRPr="002126E4">
              <w:t>One day meeting</w:t>
            </w:r>
          </w:p>
        </w:tc>
        <w:tc>
          <w:tcPr>
            <w:tcW w:w="7197" w:type="dxa"/>
          </w:tcPr>
          <w:p w14:paraId="418936F3" w14:textId="77777777" w:rsidR="002126E4" w:rsidRPr="002126E4" w:rsidRDefault="002126E4" w:rsidP="002126E4">
            <w:r w:rsidRPr="002126E4">
              <w:t>Up to 8 speakers’ expenses can be covered.  Section convenors should consider how this might be split where there are parallel sessions.</w:t>
            </w:r>
          </w:p>
        </w:tc>
      </w:tr>
      <w:tr w:rsidR="002126E4" w:rsidRPr="002126E4" w14:paraId="67E43F75" w14:textId="77777777" w:rsidTr="002126E4">
        <w:tc>
          <w:tcPr>
            <w:tcW w:w="1932" w:type="dxa"/>
          </w:tcPr>
          <w:p w14:paraId="55836345" w14:textId="77777777" w:rsidR="002126E4" w:rsidRPr="002126E4" w:rsidRDefault="002126E4" w:rsidP="002126E4">
            <w:r w:rsidRPr="002126E4">
              <w:t>Half day meeting</w:t>
            </w:r>
          </w:p>
        </w:tc>
        <w:tc>
          <w:tcPr>
            <w:tcW w:w="7197" w:type="dxa"/>
          </w:tcPr>
          <w:p w14:paraId="2C843B50" w14:textId="77777777" w:rsidR="002126E4" w:rsidRPr="002126E4" w:rsidRDefault="002126E4" w:rsidP="002126E4">
            <w:r w:rsidRPr="002126E4">
              <w:t>Up to 4 speakers’ expenses can be covered</w:t>
            </w:r>
          </w:p>
        </w:tc>
      </w:tr>
      <w:tr w:rsidR="002126E4" w:rsidRPr="002126E4" w14:paraId="0A011FAD" w14:textId="77777777" w:rsidTr="002126E4">
        <w:tc>
          <w:tcPr>
            <w:tcW w:w="1932" w:type="dxa"/>
          </w:tcPr>
          <w:p w14:paraId="3A634BB6" w14:textId="77777777" w:rsidR="002126E4" w:rsidRPr="002126E4" w:rsidRDefault="002126E4" w:rsidP="002126E4">
            <w:r w:rsidRPr="002126E4">
              <w:t>Annual meeting</w:t>
            </w:r>
          </w:p>
        </w:tc>
        <w:tc>
          <w:tcPr>
            <w:tcW w:w="7197" w:type="dxa"/>
          </w:tcPr>
          <w:p w14:paraId="0E5C67A7" w14:textId="77777777" w:rsidR="002126E4" w:rsidRPr="002126E4" w:rsidRDefault="002126E4" w:rsidP="002126E4">
            <w:r w:rsidRPr="002126E4">
              <w:t>Up to 12 speakers across the day.  This should be co-ordinated via the Scientific Chair as this may be split where there are parallel sessions.</w:t>
            </w:r>
          </w:p>
        </w:tc>
      </w:tr>
    </w:tbl>
    <w:p w14:paraId="251EFAA4" w14:textId="77777777" w:rsidR="002126E4" w:rsidRDefault="002126E4" w:rsidP="002126E4"/>
    <w:p w14:paraId="27690F26" w14:textId="77777777" w:rsidR="002126E4" w:rsidRDefault="002126E4" w:rsidP="002126E4">
      <w:r>
        <w:t>Those organising meetings should be aware of the limits above when deciding on speakers and should consider these expenses in the meeting planning and costs.</w:t>
      </w:r>
    </w:p>
    <w:p w14:paraId="7A099F29" w14:textId="77777777" w:rsidR="002126E4" w:rsidRDefault="002126E4" w:rsidP="002126E4"/>
    <w:p w14:paraId="0476FC1A" w14:textId="77777777" w:rsidR="002126E4" w:rsidRDefault="002126E4" w:rsidP="002126E4">
      <w:pPr>
        <w:pStyle w:val="Heading2"/>
      </w:pPr>
      <w:bookmarkStart w:id="9" w:name="_Toc184843003"/>
      <w:r>
        <w:t>Section convenors</w:t>
      </w:r>
      <w:bookmarkEnd w:id="9"/>
    </w:p>
    <w:p w14:paraId="0FF4595E" w14:textId="77777777" w:rsidR="002126E4" w:rsidRDefault="002126E4" w:rsidP="002126E4">
      <w:r>
        <w:t xml:space="preserve">Section convenors make essential contributions to both section meetings and the annual meeting and often at as chairs of the section meetings or chairs of their sessions at the annual meeting.  These events help to enable LASA to deliver its charitable aims and objectives.  </w:t>
      </w:r>
    </w:p>
    <w:p w14:paraId="43AEB5FE" w14:textId="77777777" w:rsidR="002126E4" w:rsidRDefault="002126E4" w:rsidP="002126E4"/>
    <w:p w14:paraId="63B21602" w14:textId="402F6587" w:rsidR="002126E4" w:rsidRDefault="002126E4" w:rsidP="002126E4">
      <w:r>
        <w:t>Typically, LASA will pay expenses for one convenor to act as a chair for a one-day meeting or part of the annual meeting</w:t>
      </w:r>
      <w:r w:rsidR="003E542D">
        <w:t xml:space="preserve"> – see </w:t>
      </w:r>
      <w:r w:rsidR="003E542D">
        <w:fldChar w:fldCharType="begin"/>
      </w:r>
      <w:r w:rsidR="003E542D">
        <w:instrText xml:space="preserve"> REF _Ref184842757 \h </w:instrText>
      </w:r>
      <w:r w:rsidR="003E542D">
        <w:fldChar w:fldCharType="separate"/>
      </w:r>
      <w:r w:rsidR="003E542D">
        <w:t xml:space="preserve">Table </w:t>
      </w:r>
      <w:r w:rsidR="003E542D">
        <w:rPr>
          <w:noProof/>
        </w:rPr>
        <w:t>2</w:t>
      </w:r>
      <w:r w:rsidR="003E542D">
        <w:fldChar w:fldCharType="end"/>
      </w:r>
      <w:r>
        <w:t>.  Each section should decide who of the convenors might be eligible to claim expenses.</w:t>
      </w:r>
    </w:p>
    <w:p w14:paraId="357B3052" w14:textId="77777777" w:rsidR="002126E4" w:rsidRDefault="002126E4" w:rsidP="002126E4"/>
    <w:p w14:paraId="25E4A9B3" w14:textId="1655A394" w:rsidR="002126E4" w:rsidRDefault="002126E4" w:rsidP="002126E4">
      <w:pPr>
        <w:pStyle w:val="Caption"/>
        <w:keepNext/>
      </w:pPr>
      <w:bookmarkStart w:id="10" w:name="_Ref184842757"/>
      <w:r>
        <w:t xml:space="preserve">Table </w:t>
      </w:r>
      <w:r w:rsidR="00CF5995">
        <w:fldChar w:fldCharType="begin"/>
      </w:r>
      <w:r w:rsidR="00CF5995">
        <w:instrText xml:space="preserve"> SEQ Table \* ARABIC </w:instrText>
      </w:r>
      <w:r w:rsidR="00CF5995">
        <w:fldChar w:fldCharType="separate"/>
      </w:r>
      <w:r>
        <w:rPr>
          <w:noProof/>
        </w:rPr>
        <w:t>2</w:t>
      </w:r>
      <w:r w:rsidR="00CF5995">
        <w:rPr>
          <w:noProof/>
        </w:rPr>
        <w:fldChar w:fldCharType="end"/>
      </w:r>
      <w:bookmarkEnd w:id="10"/>
      <w:r>
        <w:t xml:space="preserve"> - Expenses policy by meeting type for section convenors</w:t>
      </w:r>
    </w:p>
    <w:tbl>
      <w:tblPr>
        <w:tblStyle w:val="TableGrid"/>
        <w:tblW w:w="9129" w:type="dxa"/>
        <w:tblLook w:val="04A0" w:firstRow="1" w:lastRow="0" w:firstColumn="1" w:lastColumn="0" w:noHBand="0" w:noVBand="1"/>
      </w:tblPr>
      <w:tblGrid>
        <w:gridCol w:w="1932"/>
        <w:gridCol w:w="7197"/>
      </w:tblGrid>
      <w:tr w:rsidR="002126E4" w:rsidRPr="002126E4" w14:paraId="203C8E9F" w14:textId="77777777" w:rsidTr="002126E4">
        <w:tc>
          <w:tcPr>
            <w:tcW w:w="1932" w:type="dxa"/>
          </w:tcPr>
          <w:p w14:paraId="089CA3BF" w14:textId="77777777" w:rsidR="002126E4" w:rsidRPr="002126E4" w:rsidRDefault="002126E4" w:rsidP="00E56F34">
            <w:pPr>
              <w:rPr>
                <w:b/>
                <w:bCs/>
              </w:rPr>
            </w:pPr>
            <w:r w:rsidRPr="002126E4">
              <w:rPr>
                <w:b/>
                <w:bCs/>
              </w:rPr>
              <w:t>Meeting type</w:t>
            </w:r>
          </w:p>
        </w:tc>
        <w:tc>
          <w:tcPr>
            <w:tcW w:w="7197" w:type="dxa"/>
          </w:tcPr>
          <w:p w14:paraId="7C428D88" w14:textId="77777777" w:rsidR="002126E4" w:rsidRPr="002126E4" w:rsidRDefault="002126E4" w:rsidP="00E56F34">
            <w:pPr>
              <w:rPr>
                <w:b/>
                <w:bCs/>
              </w:rPr>
            </w:pPr>
            <w:r w:rsidRPr="002126E4">
              <w:rPr>
                <w:b/>
                <w:bCs/>
              </w:rPr>
              <w:t>Scope</w:t>
            </w:r>
          </w:p>
        </w:tc>
      </w:tr>
      <w:tr w:rsidR="002126E4" w:rsidRPr="002126E4" w14:paraId="6D4E6A18" w14:textId="77777777" w:rsidTr="002126E4">
        <w:tc>
          <w:tcPr>
            <w:tcW w:w="1932" w:type="dxa"/>
          </w:tcPr>
          <w:p w14:paraId="4E38391C" w14:textId="77777777" w:rsidR="002126E4" w:rsidRPr="002126E4" w:rsidRDefault="002126E4" w:rsidP="00E56F34">
            <w:r w:rsidRPr="002126E4">
              <w:t>One day meeting</w:t>
            </w:r>
          </w:p>
        </w:tc>
        <w:tc>
          <w:tcPr>
            <w:tcW w:w="7197" w:type="dxa"/>
          </w:tcPr>
          <w:p w14:paraId="5DF3CEB9" w14:textId="4FFB7950" w:rsidR="002126E4" w:rsidRPr="002126E4" w:rsidRDefault="002126E4" w:rsidP="00E56F34">
            <w:r>
              <w:t xml:space="preserve">Expenses for one convenor to act as chair. </w:t>
            </w:r>
          </w:p>
        </w:tc>
      </w:tr>
      <w:tr w:rsidR="002126E4" w:rsidRPr="002126E4" w14:paraId="6F7FDCC8" w14:textId="77777777" w:rsidTr="002126E4">
        <w:tc>
          <w:tcPr>
            <w:tcW w:w="1932" w:type="dxa"/>
          </w:tcPr>
          <w:p w14:paraId="0DEA8C89" w14:textId="77777777" w:rsidR="002126E4" w:rsidRPr="002126E4" w:rsidRDefault="002126E4" w:rsidP="00E56F34">
            <w:r w:rsidRPr="002126E4">
              <w:t>Annual meeting</w:t>
            </w:r>
          </w:p>
        </w:tc>
        <w:tc>
          <w:tcPr>
            <w:tcW w:w="7197" w:type="dxa"/>
          </w:tcPr>
          <w:p w14:paraId="7A1E17B1" w14:textId="6F83E721" w:rsidR="002126E4" w:rsidRPr="002126E4" w:rsidRDefault="002126E4" w:rsidP="00E56F34">
            <w:r>
              <w:t xml:space="preserve">Expenses for one convenor per session. </w:t>
            </w:r>
          </w:p>
        </w:tc>
      </w:tr>
    </w:tbl>
    <w:p w14:paraId="42033D24" w14:textId="77777777" w:rsidR="002126E4" w:rsidRDefault="002126E4" w:rsidP="002126E4"/>
    <w:p w14:paraId="114D75EF" w14:textId="77777777" w:rsidR="002126E4" w:rsidRDefault="002126E4" w:rsidP="003E542D">
      <w:pPr>
        <w:pStyle w:val="Heading2"/>
      </w:pPr>
      <w:bookmarkStart w:id="11" w:name="_Toc184843004"/>
      <w:r>
        <w:t>Roles required to attend the full annual meeting.</w:t>
      </w:r>
      <w:bookmarkEnd w:id="11"/>
    </w:p>
    <w:p w14:paraId="6A60DDC5" w14:textId="77777777" w:rsidR="003E542D" w:rsidRDefault="002126E4" w:rsidP="002126E4">
      <w:r>
        <w:t xml:space="preserve">There are certain </w:t>
      </w:r>
      <w:r w:rsidR="003E542D">
        <w:t>r</w:t>
      </w:r>
      <w:r>
        <w:t xml:space="preserve">oles that will be required to attend the full length of an annual meeting in order to ensure that the meeting runs effectively and that the event enables LASA to deliver its charitable aims and objectives.  Without these roles in attendance the event would not be able to run effectively.  </w:t>
      </w:r>
    </w:p>
    <w:p w14:paraId="391B9736" w14:textId="77777777" w:rsidR="003E542D" w:rsidRDefault="002126E4" w:rsidP="002126E4">
      <w:r>
        <w:t xml:space="preserve">These </w:t>
      </w:r>
      <w:r w:rsidR="003E542D">
        <w:t>r</w:t>
      </w:r>
      <w:r>
        <w:t>oles include</w:t>
      </w:r>
    </w:p>
    <w:p w14:paraId="70E40193" w14:textId="77777777" w:rsidR="003E542D" w:rsidRDefault="002126E4" w:rsidP="002126E4">
      <w:pPr>
        <w:pStyle w:val="ListParagraph"/>
        <w:numPr>
          <w:ilvl w:val="0"/>
          <w:numId w:val="3"/>
        </w:numPr>
      </w:pPr>
      <w:r>
        <w:t>The chair of the scientific programme committee</w:t>
      </w:r>
    </w:p>
    <w:p w14:paraId="0B2E1E15" w14:textId="77777777" w:rsidR="003E542D" w:rsidRDefault="002126E4" w:rsidP="002126E4">
      <w:pPr>
        <w:pStyle w:val="ListParagraph"/>
        <w:numPr>
          <w:ilvl w:val="0"/>
          <w:numId w:val="3"/>
        </w:numPr>
      </w:pPr>
      <w:r>
        <w:t>A member of the communications team</w:t>
      </w:r>
    </w:p>
    <w:p w14:paraId="37B3048E" w14:textId="0647CA72" w:rsidR="002126E4" w:rsidRDefault="002126E4" w:rsidP="002126E4">
      <w:pPr>
        <w:pStyle w:val="ListParagraph"/>
        <w:numPr>
          <w:ilvl w:val="0"/>
          <w:numId w:val="3"/>
        </w:numPr>
      </w:pPr>
      <w:r>
        <w:t>The President</w:t>
      </w:r>
    </w:p>
    <w:p w14:paraId="7DD1D295" w14:textId="77777777" w:rsidR="003E542D" w:rsidRDefault="003E542D" w:rsidP="003E542D"/>
    <w:p w14:paraId="69C29D11" w14:textId="77777777" w:rsidR="002126E4" w:rsidRDefault="002126E4" w:rsidP="002126E4">
      <w:r>
        <w:t xml:space="preserve">Where the employer support is not available expenses can be reimbursed for the full meeting registration, standard travel and accommodation for up to two nights. </w:t>
      </w:r>
    </w:p>
    <w:p w14:paraId="6A107B13" w14:textId="77777777" w:rsidR="002126E4" w:rsidRDefault="002126E4" w:rsidP="002126E4"/>
    <w:p w14:paraId="154E894E" w14:textId="77777777" w:rsidR="002126E4" w:rsidRDefault="002126E4" w:rsidP="003E542D">
      <w:pPr>
        <w:pStyle w:val="Heading2"/>
      </w:pPr>
      <w:bookmarkStart w:id="12" w:name="_Toc184843005"/>
      <w:r>
        <w:t>Representing LASA at other meetings</w:t>
      </w:r>
      <w:bookmarkEnd w:id="12"/>
    </w:p>
    <w:p w14:paraId="00F6436A" w14:textId="5411ABA0" w:rsidR="002126E4" w:rsidRDefault="002126E4" w:rsidP="002126E4">
      <w:r>
        <w:t>Where an individual is being asked to represent LASA at another meeting (e.g. IAT conference, regulatory stakeholder meetings) expenses may be claimed</w:t>
      </w:r>
      <w:r w:rsidR="003E542D">
        <w:t xml:space="preserve"> by a single agreed representative</w:t>
      </w:r>
      <w:r>
        <w:t xml:space="preserve">.  For short in person meetings (e.g. regulatory stakeholder meetings) travel expenses as outlined </w:t>
      </w:r>
      <w:r w:rsidR="003E542D">
        <w:t xml:space="preserve">in </w:t>
      </w:r>
      <w:r w:rsidR="003E542D">
        <w:fldChar w:fldCharType="begin"/>
      </w:r>
      <w:r w:rsidR="003E542D">
        <w:instrText xml:space="preserve"> REF _Ref184842912 \w \h </w:instrText>
      </w:r>
      <w:r w:rsidR="003E542D">
        <w:fldChar w:fldCharType="separate"/>
      </w:r>
      <w:r w:rsidR="003E542D">
        <w:t>2</w:t>
      </w:r>
      <w:r w:rsidR="003E542D">
        <w:fldChar w:fldCharType="end"/>
      </w:r>
      <w:r w:rsidR="003E542D">
        <w:t xml:space="preserve"> (p.</w:t>
      </w:r>
      <w:r w:rsidR="003E542D">
        <w:fldChar w:fldCharType="begin"/>
      </w:r>
      <w:r w:rsidR="003E542D">
        <w:instrText xml:space="preserve"> PAGEREF _Ref184842912 \h </w:instrText>
      </w:r>
      <w:r w:rsidR="003E542D">
        <w:fldChar w:fldCharType="separate"/>
      </w:r>
      <w:r w:rsidR="003E542D">
        <w:rPr>
          <w:noProof/>
        </w:rPr>
        <w:t>1</w:t>
      </w:r>
      <w:r w:rsidR="003E542D">
        <w:fldChar w:fldCharType="end"/>
      </w:r>
      <w:r w:rsidR="003E542D">
        <w:t>)</w:t>
      </w:r>
      <w:r>
        <w:t xml:space="preserve"> can be claimed.</w:t>
      </w:r>
    </w:p>
    <w:p w14:paraId="0284F754" w14:textId="60BC16A2" w:rsidR="002126E4" w:rsidRDefault="002126E4" w:rsidP="002126E4">
      <w:r>
        <w:t>For any other meeting</w:t>
      </w:r>
      <w:r w:rsidR="003E542D">
        <w:t>,</w:t>
      </w:r>
      <w:r>
        <w:t xml:space="preserve"> </w:t>
      </w:r>
      <w:r w:rsidR="003E542D">
        <w:t>e.g.</w:t>
      </w:r>
      <w:r>
        <w:t xml:space="preserve"> IAT congress</w:t>
      </w:r>
      <w:r w:rsidR="003E542D">
        <w:t>,</w:t>
      </w:r>
      <w:r>
        <w:t xml:space="preserve"> the scope will be agreed in advance with the Trustees. </w:t>
      </w:r>
    </w:p>
    <w:p w14:paraId="4210FF60" w14:textId="77777777" w:rsidR="002126E4" w:rsidRDefault="002126E4" w:rsidP="002126E4"/>
    <w:p w14:paraId="2121CB25" w14:textId="77777777" w:rsidR="002126E4" w:rsidRDefault="002126E4" w:rsidP="003E542D">
      <w:pPr>
        <w:pStyle w:val="Heading2"/>
      </w:pPr>
      <w:bookmarkStart w:id="13" w:name="_Toc184843006"/>
      <w:r>
        <w:t>Other types of expense</w:t>
      </w:r>
      <w:bookmarkEnd w:id="13"/>
    </w:p>
    <w:p w14:paraId="287B1DB0" w14:textId="77777777" w:rsidR="002126E4" w:rsidRDefault="002126E4" w:rsidP="002126E4">
      <w:r>
        <w:t>Gifts for those who contributed significantly to LASA’s mission: this approach includes gifts to trustees who are retiring or leaving to take up another post, usually involving a small thank you gifts.</w:t>
      </w:r>
    </w:p>
    <w:p w14:paraId="2DB75C8F" w14:textId="162EBB36" w:rsidR="002126E4" w:rsidRDefault="002126E4" w:rsidP="002126E4">
      <w:r>
        <w:t>On occasions the Trustees may provide small gifts or cover the cost of an event meal for key speakers.</w:t>
      </w:r>
    </w:p>
    <w:sectPr w:rsidR="002126E4" w:rsidSect="003E542D">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65F7B" w14:textId="77777777" w:rsidR="006711E3" w:rsidRDefault="006711E3" w:rsidP="003E542D">
      <w:r>
        <w:separator/>
      </w:r>
    </w:p>
  </w:endnote>
  <w:endnote w:type="continuationSeparator" w:id="0">
    <w:p w14:paraId="5CAC155F" w14:textId="77777777" w:rsidR="006711E3" w:rsidRDefault="006711E3" w:rsidP="003E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A16D" w14:textId="7CFED76A" w:rsidR="003E542D" w:rsidRDefault="003E542D" w:rsidP="003E542D">
    <w:pPr>
      <w:pStyle w:val="Footer"/>
      <w:jc w:val="right"/>
    </w:pPr>
    <w:r>
      <w:fldChar w:fldCharType="begin"/>
    </w:r>
    <w:r>
      <w:instrText xml:space="preserve"> PAGE  \* MERGEFORMAT </w:instrText>
    </w:r>
    <w:r>
      <w:fldChar w:fldCharType="separate"/>
    </w:r>
    <w:r w:rsidR="00CF599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61873" w14:textId="77777777" w:rsidR="006711E3" w:rsidRDefault="006711E3" w:rsidP="003E542D">
      <w:r>
        <w:separator/>
      </w:r>
    </w:p>
  </w:footnote>
  <w:footnote w:type="continuationSeparator" w:id="0">
    <w:p w14:paraId="7A2E1832" w14:textId="77777777" w:rsidR="006711E3" w:rsidRDefault="006711E3" w:rsidP="003E5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2E3E" w14:textId="7D0D3884" w:rsidR="00F14605" w:rsidRPr="00F14605" w:rsidRDefault="00F14605">
    <w:pPr>
      <w:pStyle w:val="Header"/>
      <w:rPr>
        <w:lang w:val="en-US"/>
      </w:rPr>
    </w:pPr>
    <w:r>
      <w:rPr>
        <w:lang w:val="en-US"/>
      </w:rPr>
      <w:t>April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219D"/>
    <w:multiLevelType w:val="hybridMultilevel"/>
    <w:tmpl w:val="CF3A6BE4"/>
    <w:lvl w:ilvl="0" w:tplc="A0C656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144E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4C38D3"/>
    <w:multiLevelType w:val="hybridMultilevel"/>
    <w:tmpl w:val="5FEEC222"/>
    <w:lvl w:ilvl="0" w:tplc="A0C656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E4"/>
    <w:rsid w:val="000109FC"/>
    <w:rsid w:val="00095F33"/>
    <w:rsid w:val="00106B82"/>
    <w:rsid w:val="002126E4"/>
    <w:rsid w:val="002943F4"/>
    <w:rsid w:val="00330000"/>
    <w:rsid w:val="00350AF8"/>
    <w:rsid w:val="003C4AA0"/>
    <w:rsid w:val="003E542D"/>
    <w:rsid w:val="00472E3E"/>
    <w:rsid w:val="00511476"/>
    <w:rsid w:val="005860AF"/>
    <w:rsid w:val="005B0B9B"/>
    <w:rsid w:val="00634FED"/>
    <w:rsid w:val="006626DA"/>
    <w:rsid w:val="006711E3"/>
    <w:rsid w:val="00677A12"/>
    <w:rsid w:val="00703040"/>
    <w:rsid w:val="00724859"/>
    <w:rsid w:val="00732504"/>
    <w:rsid w:val="0075631E"/>
    <w:rsid w:val="007759A9"/>
    <w:rsid w:val="00925464"/>
    <w:rsid w:val="009C7EA8"/>
    <w:rsid w:val="00AB53C6"/>
    <w:rsid w:val="00AF62C1"/>
    <w:rsid w:val="00C000E2"/>
    <w:rsid w:val="00CE6E77"/>
    <w:rsid w:val="00CF5995"/>
    <w:rsid w:val="00D80C3B"/>
    <w:rsid w:val="00F14605"/>
    <w:rsid w:val="00F45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0FEB"/>
  <w15:chartTrackingRefBased/>
  <w15:docId w15:val="{4D89D59D-14F7-BA4A-92C2-FE9129C7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C3B"/>
    <w:rPr>
      <w:sz w:val="22"/>
    </w:rPr>
  </w:style>
  <w:style w:type="paragraph" w:styleId="Heading1">
    <w:name w:val="heading 1"/>
    <w:basedOn w:val="Normal"/>
    <w:next w:val="Normal"/>
    <w:link w:val="Heading1Char"/>
    <w:uiPriority w:val="9"/>
    <w:qFormat/>
    <w:rsid w:val="00212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2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6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6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6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6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2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6E4"/>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2126E4"/>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2126E4"/>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2126E4"/>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2126E4"/>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2126E4"/>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2126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6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26E4"/>
    <w:rPr>
      <w:i/>
      <w:iCs/>
      <w:color w:val="404040" w:themeColor="text1" w:themeTint="BF"/>
      <w:sz w:val="22"/>
    </w:rPr>
  </w:style>
  <w:style w:type="paragraph" w:styleId="ListParagraph">
    <w:name w:val="List Paragraph"/>
    <w:basedOn w:val="Normal"/>
    <w:uiPriority w:val="34"/>
    <w:qFormat/>
    <w:rsid w:val="002126E4"/>
    <w:pPr>
      <w:ind w:left="720"/>
      <w:contextualSpacing/>
    </w:pPr>
  </w:style>
  <w:style w:type="character" w:styleId="IntenseEmphasis">
    <w:name w:val="Intense Emphasis"/>
    <w:basedOn w:val="DefaultParagraphFont"/>
    <w:uiPriority w:val="21"/>
    <w:qFormat/>
    <w:rsid w:val="002126E4"/>
    <w:rPr>
      <w:i/>
      <w:iCs/>
      <w:color w:val="0F4761" w:themeColor="accent1" w:themeShade="BF"/>
    </w:rPr>
  </w:style>
  <w:style w:type="paragraph" w:styleId="IntenseQuote">
    <w:name w:val="Intense Quote"/>
    <w:basedOn w:val="Normal"/>
    <w:next w:val="Normal"/>
    <w:link w:val="IntenseQuoteChar"/>
    <w:uiPriority w:val="30"/>
    <w:qFormat/>
    <w:rsid w:val="00212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6E4"/>
    <w:rPr>
      <w:i/>
      <w:iCs/>
      <w:color w:val="0F4761" w:themeColor="accent1" w:themeShade="BF"/>
      <w:sz w:val="22"/>
    </w:rPr>
  </w:style>
  <w:style w:type="character" w:styleId="IntenseReference">
    <w:name w:val="Intense Reference"/>
    <w:basedOn w:val="DefaultParagraphFont"/>
    <w:uiPriority w:val="32"/>
    <w:qFormat/>
    <w:rsid w:val="002126E4"/>
    <w:rPr>
      <w:b/>
      <w:bCs/>
      <w:smallCaps/>
      <w:color w:val="0F4761" w:themeColor="accent1" w:themeShade="BF"/>
      <w:spacing w:val="5"/>
    </w:rPr>
  </w:style>
  <w:style w:type="table" w:styleId="TableGrid">
    <w:name w:val="Table Grid"/>
    <w:basedOn w:val="TableNormal"/>
    <w:uiPriority w:val="39"/>
    <w:rsid w:val="00212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126E4"/>
    <w:pPr>
      <w:spacing w:after="200"/>
    </w:pPr>
    <w:rPr>
      <w:i/>
      <w:iCs/>
      <w:color w:val="0E2841" w:themeColor="text2"/>
      <w:sz w:val="18"/>
      <w:szCs w:val="18"/>
    </w:rPr>
  </w:style>
  <w:style w:type="character" w:styleId="CommentReference">
    <w:name w:val="annotation reference"/>
    <w:basedOn w:val="DefaultParagraphFont"/>
    <w:uiPriority w:val="99"/>
    <w:semiHidden/>
    <w:unhideWhenUsed/>
    <w:rsid w:val="002126E4"/>
    <w:rPr>
      <w:sz w:val="16"/>
      <w:szCs w:val="16"/>
    </w:rPr>
  </w:style>
  <w:style w:type="paragraph" w:styleId="CommentText">
    <w:name w:val="annotation text"/>
    <w:basedOn w:val="Normal"/>
    <w:link w:val="CommentTextChar"/>
    <w:uiPriority w:val="99"/>
    <w:unhideWhenUsed/>
    <w:rsid w:val="002126E4"/>
    <w:rPr>
      <w:sz w:val="20"/>
      <w:szCs w:val="20"/>
    </w:rPr>
  </w:style>
  <w:style w:type="character" w:customStyle="1" w:styleId="CommentTextChar">
    <w:name w:val="Comment Text Char"/>
    <w:basedOn w:val="DefaultParagraphFont"/>
    <w:link w:val="CommentText"/>
    <w:uiPriority w:val="99"/>
    <w:rsid w:val="002126E4"/>
    <w:rPr>
      <w:sz w:val="20"/>
      <w:szCs w:val="20"/>
    </w:rPr>
  </w:style>
  <w:style w:type="paragraph" w:styleId="CommentSubject">
    <w:name w:val="annotation subject"/>
    <w:basedOn w:val="CommentText"/>
    <w:next w:val="CommentText"/>
    <w:link w:val="CommentSubjectChar"/>
    <w:uiPriority w:val="99"/>
    <w:semiHidden/>
    <w:unhideWhenUsed/>
    <w:rsid w:val="002126E4"/>
    <w:rPr>
      <w:b/>
      <w:bCs/>
    </w:rPr>
  </w:style>
  <w:style w:type="character" w:customStyle="1" w:styleId="CommentSubjectChar">
    <w:name w:val="Comment Subject Char"/>
    <w:basedOn w:val="CommentTextChar"/>
    <w:link w:val="CommentSubject"/>
    <w:uiPriority w:val="99"/>
    <w:semiHidden/>
    <w:rsid w:val="002126E4"/>
    <w:rPr>
      <w:b/>
      <w:bCs/>
      <w:sz w:val="20"/>
      <w:szCs w:val="20"/>
    </w:rPr>
  </w:style>
  <w:style w:type="paragraph" w:styleId="TOC1">
    <w:name w:val="toc 1"/>
    <w:basedOn w:val="Normal"/>
    <w:next w:val="Normal"/>
    <w:autoRedefine/>
    <w:uiPriority w:val="39"/>
    <w:unhideWhenUsed/>
    <w:rsid w:val="003E542D"/>
    <w:pPr>
      <w:spacing w:after="100"/>
    </w:pPr>
  </w:style>
  <w:style w:type="paragraph" w:styleId="TOC2">
    <w:name w:val="toc 2"/>
    <w:basedOn w:val="Normal"/>
    <w:next w:val="Normal"/>
    <w:autoRedefine/>
    <w:uiPriority w:val="39"/>
    <w:unhideWhenUsed/>
    <w:rsid w:val="003E542D"/>
    <w:pPr>
      <w:spacing w:after="100"/>
      <w:ind w:left="220"/>
    </w:pPr>
  </w:style>
  <w:style w:type="character" w:styleId="Hyperlink">
    <w:name w:val="Hyperlink"/>
    <w:basedOn w:val="DefaultParagraphFont"/>
    <w:uiPriority w:val="99"/>
    <w:unhideWhenUsed/>
    <w:rsid w:val="003E542D"/>
    <w:rPr>
      <w:color w:val="467886" w:themeColor="hyperlink"/>
      <w:u w:val="single"/>
    </w:rPr>
  </w:style>
  <w:style w:type="paragraph" w:styleId="Header">
    <w:name w:val="header"/>
    <w:basedOn w:val="Normal"/>
    <w:link w:val="HeaderChar"/>
    <w:uiPriority w:val="99"/>
    <w:unhideWhenUsed/>
    <w:rsid w:val="003E542D"/>
    <w:pPr>
      <w:tabs>
        <w:tab w:val="center" w:pos="4513"/>
        <w:tab w:val="right" w:pos="9026"/>
      </w:tabs>
    </w:pPr>
  </w:style>
  <w:style w:type="character" w:customStyle="1" w:styleId="HeaderChar">
    <w:name w:val="Header Char"/>
    <w:basedOn w:val="DefaultParagraphFont"/>
    <w:link w:val="Header"/>
    <w:uiPriority w:val="99"/>
    <w:rsid w:val="003E542D"/>
    <w:rPr>
      <w:sz w:val="22"/>
    </w:rPr>
  </w:style>
  <w:style w:type="paragraph" w:styleId="Footer">
    <w:name w:val="footer"/>
    <w:basedOn w:val="Normal"/>
    <w:link w:val="FooterChar"/>
    <w:uiPriority w:val="99"/>
    <w:unhideWhenUsed/>
    <w:rsid w:val="003E542D"/>
    <w:pPr>
      <w:tabs>
        <w:tab w:val="center" w:pos="4513"/>
        <w:tab w:val="right" w:pos="9026"/>
      </w:tabs>
    </w:pPr>
  </w:style>
  <w:style w:type="character" w:customStyle="1" w:styleId="FooterChar">
    <w:name w:val="Footer Char"/>
    <w:basedOn w:val="DefaultParagraphFont"/>
    <w:link w:val="Footer"/>
    <w:uiPriority w:val="99"/>
    <w:rsid w:val="003E542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F93D-6C8C-4DB0-BF5A-5D12015E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Willshire</dc:creator>
  <cp:keywords/>
  <dc:description/>
  <cp:lastModifiedBy>Freya Bambridge</cp:lastModifiedBy>
  <cp:revision>2</cp:revision>
  <dcterms:created xsi:type="dcterms:W3CDTF">2025-04-23T10:48:00Z</dcterms:created>
  <dcterms:modified xsi:type="dcterms:W3CDTF">2025-04-23T10:48:00Z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c5744d-47a7-433e-80c5-a2f3c0a44366_Enabled">
    <vt:lpwstr>true</vt:lpwstr>
  </property>
  <property fmtid="{D5CDD505-2E9C-101B-9397-08002B2CF9AE}" pid="3" name="MSIP_Label_01c5744d-47a7-433e-80c5-a2f3c0a44366_SetDate">
    <vt:lpwstr>2024-12-11T20:59:19Z</vt:lpwstr>
  </property>
  <property fmtid="{D5CDD505-2E9C-101B-9397-08002B2CF9AE}" pid="4" name="MSIP_Label_01c5744d-47a7-433e-80c5-a2f3c0a44366_Method">
    <vt:lpwstr>Standard</vt:lpwstr>
  </property>
  <property fmtid="{D5CDD505-2E9C-101B-9397-08002B2CF9AE}" pid="5" name="MSIP_Label_01c5744d-47a7-433e-80c5-a2f3c0a44366_Name">
    <vt:lpwstr>defa4170-0d19-0005-0004-bc88714345d2</vt:lpwstr>
  </property>
  <property fmtid="{D5CDD505-2E9C-101B-9397-08002B2CF9AE}" pid="6" name="MSIP_Label_01c5744d-47a7-433e-80c5-a2f3c0a44366_SiteId">
    <vt:lpwstr>dcc9848d-4347-429e-a8d8-dcad9d053331</vt:lpwstr>
  </property>
  <property fmtid="{D5CDD505-2E9C-101B-9397-08002B2CF9AE}" pid="7" name="MSIP_Label_01c5744d-47a7-433e-80c5-a2f3c0a44366_ActionId">
    <vt:lpwstr>af3ef3a3-59fe-453b-95c4-38f0c95865a9</vt:lpwstr>
  </property>
  <property fmtid="{D5CDD505-2E9C-101B-9397-08002B2CF9AE}" pid="8" name="MSIP_Label_01c5744d-47a7-433e-80c5-a2f3c0a44366_ContentBits">
    <vt:lpwstr>0</vt:lpwstr>
  </property>
</Properties>
</file>